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1C570A" w14:textId="2559C271" w:rsidR="006559EC" w:rsidRPr="005C7238" w:rsidRDefault="006559EC" w:rsidP="006559EC">
      <w:pPr>
        <w:pStyle w:val="BodyText1"/>
        <w:spacing w:line="283" w:lineRule="auto"/>
        <w:ind w:left="5040" w:firstLine="0"/>
        <w:jc w:val="left"/>
        <w:rPr>
          <w:sz w:val="22"/>
          <w:szCs w:val="22"/>
          <w:lang w:val="lt-LT"/>
        </w:rPr>
      </w:pPr>
      <w:r w:rsidRPr="005C7238">
        <w:rPr>
          <w:sz w:val="22"/>
          <w:szCs w:val="22"/>
          <w:lang w:val="lt-LT"/>
        </w:rPr>
        <w:t xml:space="preserve">Vietos plėtros strategijos „Rokiškio kaimo </w:t>
      </w:r>
      <w:r w:rsidRPr="005C7238">
        <w:rPr>
          <w:sz w:val="22"/>
          <w:szCs w:val="22"/>
          <w:lang w:val="lt-LT"/>
        </w:rPr>
        <w:br/>
        <w:t xml:space="preserve">strategija 2014-2020“  Kvietimo Nr. 1 Vietos </w:t>
      </w:r>
      <w:r w:rsidRPr="005C7238">
        <w:rPr>
          <w:sz w:val="22"/>
          <w:szCs w:val="22"/>
          <w:lang w:val="lt-LT"/>
        </w:rPr>
        <w:br/>
        <w:t xml:space="preserve">projektų finansavimo sąlygų aprašų pagal </w:t>
      </w:r>
      <w:r w:rsidRPr="005C7238">
        <w:rPr>
          <w:sz w:val="22"/>
          <w:szCs w:val="22"/>
          <w:lang w:val="lt-LT"/>
        </w:rPr>
        <w:br/>
      </w:r>
      <w:r w:rsidRPr="00A76F5D">
        <w:rPr>
          <w:sz w:val="22"/>
          <w:szCs w:val="22"/>
          <w:lang w:val="lt-LT"/>
        </w:rPr>
        <w:t xml:space="preserve">Priemonių veiklos sritis (patvirtinta VVG </w:t>
      </w:r>
      <w:r w:rsidRPr="00A76F5D">
        <w:rPr>
          <w:sz w:val="22"/>
          <w:szCs w:val="22"/>
          <w:lang w:val="lt-LT"/>
        </w:rPr>
        <w:br/>
        <w:t xml:space="preserve">valdybos </w:t>
      </w:r>
      <w:r w:rsidR="00A76F5D" w:rsidRPr="00A76F5D">
        <w:rPr>
          <w:sz w:val="22"/>
          <w:szCs w:val="22"/>
          <w:lang w:val="lt-LT"/>
        </w:rPr>
        <w:t>2018-01-22</w:t>
      </w:r>
      <w:r w:rsidRPr="00A76F5D">
        <w:rPr>
          <w:sz w:val="22"/>
          <w:szCs w:val="22"/>
          <w:lang w:val="lt-LT"/>
        </w:rPr>
        <w:t xml:space="preserve">, protokolo Nr. </w:t>
      </w:r>
      <w:r w:rsidR="00A76F5D" w:rsidRPr="00A76F5D">
        <w:rPr>
          <w:sz w:val="22"/>
          <w:szCs w:val="22"/>
          <w:lang w:val="lt-LT"/>
        </w:rPr>
        <w:t>8</w:t>
      </w:r>
      <w:r w:rsidRPr="00A76F5D">
        <w:rPr>
          <w:sz w:val="22"/>
          <w:szCs w:val="22"/>
          <w:lang w:val="lt-LT"/>
        </w:rPr>
        <w:t>)</w:t>
      </w:r>
      <w:bookmarkStart w:id="0" w:name="_GoBack"/>
      <w:bookmarkEnd w:id="0"/>
    </w:p>
    <w:p w14:paraId="4FB718A6" w14:textId="3F832898" w:rsidR="006559EC" w:rsidRPr="005C7238" w:rsidRDefault="006559EC" w:rsidP="006559EC">
      <w:pPr>
        <w:pStyle w:val="BodyText1"/>
        <w:spacing w:line="283" w:lineRule="auto"/>
        <w:ind w:left="5040" w:firstLine="0"/>
        <w:jc w:val="left"/>
        <w:rPr>
          <w:b/>
          <w:color w:val="auto"/>
          <w:sz w:val="22"/>
          <w:szCs w:val="22"/>
          <w:lang w:val="lt-LT"/>
        </w:rPr>
      </w:pPr>
      <w:r w:rsidRPr="005C7238">
        <w:rPr>
          <w:b/>
          <w:color w:val="auto"/>
          <w:sz w:val="22"/>
          <w:szCs w:val="22"/>
          <w:lang w:val="lt-LT"/>
        </w:rPr>
        <w:t>2 priedas</w:t>
      </w:r>
    </w:p>
    <w:p w14:paraId="66E79680" w14:textId="77777777" w:rsidR="00927CFC" w:rsidRPr="00A118D2" w:rsidRDefault="00927CFC" w:rsidP="00FB09B9">
      <w:pPr>
        <w:ind w:left="7088" w:firstLine="1276"/>
        <w:jc w:val="both"/>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559EC">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 xml:space="preserve">VVG </w:t>
      </w:r>
      <w:r w:rsidR="00431641" w:rsidRPr="00A118D2">
        <w:rPr>
          <w:i/>
          <w:szCs w:val="24"/>
        </w:rPr>
        <w:lastRenderedPageBreak/>
        <w:t>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09848B"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C3658E">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1B2E9A2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5DD3D02"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737A6A50"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A4D712E"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6"/>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7FBBDC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7"/>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8"/>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w:t>
      </w:r>
      <w:r w:rsidRPr="00A118D2">
        <w:rPr>
          <w:lang w:val="lt-LT"/>
        </w:rPr>
        <w:lastRenderedPageBreak/>
        <w:t xml:space="preserve">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9"/>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848DBD5"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w:t>
      </w:r>
      <w:r w:rsidR="00C3658E">
        <w:rPr>
          <w:spacing w:val="-4"/>
          <w:sz w:val="24"/>
          <w:szCs w:val="24"/>
        </w:rPr>
        <w:t>e;</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lastRenderedPageBreak/>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BEB3B5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7A510538"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 xml:space="preserve">m. </w:t>
      </w:r>
      <w:r w:rsidR="003B26AF" w:rsidRPr="00A118D2">
        <w:rPr>
          <w:sz w:val="24"/>
          <w:szCs w:val="24"/>
        </w:rPr>
        <w:lastRenderedPageBreak/>
        <w:t>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2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4"/>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8F2189">
      <w:headerReference w:type="even" r:id="rId11"/>
      <w:headerReference w:type="default" r:id="rId12"/>
      <w:headerReference w:type="first" r:id="rId13"/>
      <w:footerReference w:type="first" r:id="rId14"/>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A452C" w14:textId="77777777" w:rsidR="00B206E1" w:rsidRDefault="00B206E1">
      <w:r>
        <w:separator/>
      </w:r>
    </w:p>
  </w:endnote>
  <w:endnote w:type="continuationSeparator" w:id="0">
    <w:p w14:paraId="2A577F00" w14:textId="77777777" w:rsidR="00B206E1" w:rsidRDefault="00B2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EB964" w14:textId="77777777" w:rsidR="00B206E1" w:rsidRDefault="00B206E1">
      <w:r>
        <w:separator/>
      </w:r>
    </w:p>
  </w:footnote>
  <w:footnote w:type="continuationSeparator" w:id="0">
    <w:p w14:paraId="4468C4D3" w14:textId="77777777" w:rsidR="00B206E1" w:rsidRDefault="00B206E1">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7">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8">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9">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8">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1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3">
    <w:p w14:paraId="5969B856" w14:textId="11423C84"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w:t>
      </w:r>
      <w:r w:rsidRPr="00903B4F">
        <w:rPr>
          <w:i/>
        </w:rPr>
        <w:t>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EAE6CE1"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76F5D">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452"/>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6C67"/>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47D13"/>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F11"/>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238"/>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AF3"/>
    <w:rsid w:val="00650D1F"/>
    <w:rsid w:val="006519B4"/>
    <w:rsid w:val="00653A9D"/>
    <w:rsid w:val="00655621"/>
    <w:rsid w:val="006559EC"/>
    <w:rsid w:val="00655A56"/>
    <w:rsid w:val="00657000"/>
    <w:rsid w:val="00657136"/>
    <w:rsid w:val="00657C8B"/>
    <w:rsid w:val="00660058"/>
    <w:rsid w:val="006616F7"/>
    <w:rsid w:val="0066195D"/>
    <w:rsid w:val="00662F1B"/>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4A57"/>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D80"/>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8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2FCB"/>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D"/>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17170"/>
    <w:rsid w:val="00B2061E"/>
    <w:rsid w:val="00B206E1"/>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58E"/>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641"/>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3C1"/>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6559EC"/>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735E1B1-F883-4BCC-84A2-FA174395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18912</Words>
  <Characters>10781</Characters>
  <Application>Microsoft Office Word</Application>
  <DocSecurity>0</DocSecurity>
  <Lines>89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 priedas</vt:lpstr>
      <vt:lpstr>1 priedas</vt:lpstr>
    </vt:vector>
  </TitlesOfParts>
  <Company>Ministerija</Company>
  <LinksUpToDate>false</LinksUpToDate>
  <CharactersWithSpaces>29634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User</cp:lastModifiedBy>
  <cp:revision>4</cp:revision>
  <cp:lastPrinted>2009-04-27T09:33:00Z</cp:lastPrinted>
  <dcterms:created xsi:type="dcterms:W3CDTF">2017-12-01T11:12:00Z</dcterms:created>
  <dcterms:modified xsi:type="dcterms:W3CDTF">2018-01-22T17:08:00Z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